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sz w:val="24"/>
        </w:rPr>
      </w:pPr>
      <w:bookmarkStart w:id="0" w:name="_GoBack"/>
      <w:r>
        <w:rPr>
          <w:rFonts w:ascii="Times New Roman" w:hAnsi="Times New Roman" w:cs="Times New Roman"/>
          <w:sz w:val="24"/>
        </w:rPr>
        <w:t xml:space="preserve">Table </w:t>
      </w:r>
      <w:r>
        <w:rPr>
          <w:rFonts w:ascii="Times New Roman" w:hAnsi="Times New Roman" w:cs="Times New Roman"/>
          <w:sz w:val="24"/>
        </w:rPr>
        <w:t>S2</w:t>
      </w:r>
      <w:bookmarkEnd w:id="0"/>
      <w:r>
        <w:rPr>
          <w:rFonts w:ascii="Times New Roman" w:hAnsi="Times New Roman" w:cs="Times New Roman"/>
          <w:sz w:val="24"/>
        </w:rPr>
        <w:t>. Frequency of mutation on site 68 of reverse transcriptase between different subtypes in K65R mutants</w:t>
      </w:r>
    </w:p>
    <w:tbl>
      <w:tblPr>
        <w:tblStyle w:val="7"/>
        <w:tblpPr w:leftFromText="180" w:rightFromText="180" w:vertAnchor="page" w:horzAnchor="page" w:tblpX="419" w:tblpY="2948"/>
        <w:tblOverlap w:val="never"/>
        <w:tblW w:w="1134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0"/>
        <w:gridCol w:w="850"/>
        <w:gridCol w:w="1134"/>
        <w:gridCol w:w="1134"/>
        <w:gridCol w:w="1190"/>
        <w:gridCol w:w="795"/>
        <w:gridCol w:w="1842"/>
        <w:gridCol w:w="1134"/>
        <w:gridCol w:w="1701"/>
      </w:tblGrid>
      <w:tr>
        <w:tblPrEx>
          <w:tblLayout w:type="fixed"/>
        </w:tblPrEx>
        <w:trPr>
          <w:trHeight w:val="442" w:hRule="atLeast"/>
        </w:trPr>
        <w:tc>
          <w:tcPr>
            <w:tcW w:w="1560" w:type="dxa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Mutation</w:t>
            </w:r>
          </w:p>
        </w:tc>
        <w:tc>
          <w:tcPr>
            <w:tcW w:w="9780" w:type="dxa"/>
            <w:gridSpan w:val="8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Subtype (%)</w:t>
            </w:r>
          </w:p>
        </w:tc>
      </w:tr>
      <w:tr>
        <w:tblPrEx>
          <w:tblLayout w:type="fixed"/>
        </w:tblPrEx>
        <w:trPr>
          <w:trHeight w:val="887" w:hRule="atLeast"/>
        </w:trPr>
        <w:tc>
          <w:tcPr>
            <w:tcW w:w="156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(n = 214)</w:t>
            </w:r>
          </w:p>
        </w:tc>
        <w:tc>
          <w:tcPr>
            <w:tcW w:w="113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B</w:t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(n = 748)</w:t>
            </w:r>
          </w:p>
        </w:tc>
        <w:tc>
          <w:tcPr>
            <w:tcW w:w="113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(n = 1345)</w:t>
            </w:r>
          </w:p>
        </w:tc>
        <w:tc>
          <w:tcPr>
            <w:tcW w:w="119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D</w:t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(n = 55)</w:t>
            </w:r>
          </w:p>
        </w:tc>
        <w:tc>
          <w:tcPr>
            <w:tcW w:w="79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F</w:t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(n = 19)</w:t>
            </w:r>
          </w:p>
        </w:tc>
        <w:tc>
          <w:tcPr>
            <w:tcW w:w="184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(n = 147)</w:t>
            </w:r>
          </w:p>
        </w:tc>
        <w:tc>
          <w:tcPr>
            <w:tcW w:w="113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CRF_01AE</w:t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(n = 230)</w:t>
            </w:r>
          </w:p>
        </w:tc>
        <w:tc>
          <w:tcPr>
            <w:tcW w:w="170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CRF_02AG</w:t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(n = 171)</w:t>
            </w:r>
          </w:p>
        </w:tc>
      </w:tr>
      <w:tr>
        <w:tblPrEx>
          <w:tblLayout w:type="fixed"/>
        </w:tblPrEx>
        <w:trPr>
          <w:trHeight w:val="493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G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41.6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38.9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27.9</w:t>
            </w:r>
          </w:p>
        </w:tc>
        <w:tc>
          <w:tcPr>
            <w:tcW w:w="119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27.3</w:t>
            </w: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21.1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29.3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61.7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43.3</w:t>
            </w:r>
          </w:p>
        </w:tc>
      </w:tr>
      <w:tr>
        <w:tblPrEx>
          <w:tblLayout w:type="fixed"/>
        </w:tblPrEx>
        <w:trPr>
          <w:trHeight w:val="422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N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3.7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19.4</w:t>
            </w:r>
          </w:p>
        </w:tc>
        <w:tc>
          <w:tcPr>
            <w:tcW w:w="119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18.2</w:t>
            </w: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15.8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6.8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6.1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3.5</w:t>
            </w:r>
          </w:p>
        </w:tc>
      </w:tr>
      <w:tr>
        <w:tblPrEx>
          <w:tblLayout w:type="fixed"/>
        </w:tblPrEx>
        <w:trPr>
          <w:trHeight w:val="422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D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1.4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3.2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2.8</w:t>
            </w:r>
          </w:p>
        </w:tc>
        <w:tc>
          <w:tcPr>
            <w:tcW w:w="119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1.8</w:t>
            </w: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–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–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2.2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1.2</w:t>
            </w:r>
          </w:p>
        </w:tc>
      </w:tr>
      <w:tr>
        <w:tblPrEx>
          <w:tblLayout w:type="fixed"/>
        </w:tblPrEx>
        <w:trPr>
          <w:trHeight w:val="422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K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1.9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2.8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2.4</w:t>
            </w:r>
          </w:p>
        </w:tc>
        <w:tc>
          <w:tcPr>
            <w:tcW w:w="119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3.6</w:t>
            </w: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–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1.4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1.3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1.8</w:t>
            </w:r>
          </w:p>
        </w:tc>
      </w:tr>
      <w:tr>
        <w:tblPrEx>
          <w:tblLayout w:type="fixed"/>
        </w:tblPrEx>
        <w:trPr>
          <w:trHeight w:val="422" w:hRule="atLeast"/>
        </w:trPr>
        <w:tc>
          <w:tcPr>
            <w:tcW w:w="156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R</w:t>
            </w:r>
          </w:p>
        </w:tc>
        <w:tc>
          <w:tcPr>
            <w:tcW w:w="85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0.5</w:t>
            </w:r>
          </w:p>
        </w:tc>
        <w:tc>
          <w:tcPr>
            <w:tcW w:w="113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2.7</w:t>
            </w:r>
          </w:p>
        </w:tc>
        <w:tc>
          <w:tcPr>
            <w:tcW w:w="113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0.8</w:t>
            </w:r>
          </w:p>
        </w:tc>
        <w:tc>
          <w:tcPr>
            <w:tcW w:w="119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1.8</w:t>
            </w:r>
          </w:p>
        </w:tc>
        <w:tc>
          <w:tcPr>
            <w:tcW w:w="79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–</w:t>
            </w:r>
          </w:p>
        </w:tc>
        <w:tc>
          <w:tcPr>
            <w:tcW w:w="184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2.0</w:t>
            </w:r>
          </w:p>
        </w:tc>
        <w:tc>
          <w:tcPr>
            <w:tcW w:w="113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0.9</w:t>
            </w:r>
          </w:p>
        </w:tc>
        <w:tc>
          <w:tcPr>
            <w:tcW w:w="1701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0.6</w:t>
            </w:r>
          </w:p>
        </w:tc>
      </w:tr>
      <w:tr>
        <w:tblPrEx>
          <w:tblLayout w:type="fixed"/>
        </w:tblPrEx>
        <w:trPr>
          <w:trHeight w:val="623" w:hRule="atLeast"/>
        </w:trPr>
        <w:tc>
          <w:tcPr>
            <w:tcW w:w="156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Total</w:t>
            </w:r>
          </w:p>
        </w:tc>
        <w:tc>
          <w:tcPr>
            <w:tcW w:w="85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49.1</w:t>
            </w:r>
          </w:p>
        </w:tc>
        <w:tc>
          <w:tcPr>
            <w:tcW w:w="113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54.6</w:t>
            </w:r>
          </w:p>
        </w:tc>
        <w:tc>
          <w:tcPr>
            <w:tcW w:w="113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53.3</w:t>
            </w:r>
          </w:p>
        </w:tc>
        <w:tc>
          <w:tcPr>
            <w:tcW w:w="119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52.7</w:t>
            </w:r>
          </w:p>
        </w:tc>
        <w:tc>
          <w:tcPr>
            <w:tcW w:w="79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36.9</w:t>
            </w:r>
          </w:p>
        </w:tc>
        <w:tc>
          <w:tcPr>
            <w:tcW w:w="184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39.5</w:t>
            </w:r>
          </w:p>
        </w:tc>
        <w:tc>
          <w:tcPr>
            <w:tcW w:w="113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72.2</w:t>
            </w:r>
          </w:p>
        </w:tc>
        <w:tc>
          <w:tcPr>
            <w:tcW w:w="1701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50.4</w:t>
            </w:r>
          </w:p>
        </w:tc>
      </w:tr>
    </w:tbl>
    <w:p>
      <w:pPr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sz w:val="24"/>
        </w:rPr>
      </w:pPr>
    </w:p>
    <w:p>
      <w:pPr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n, number of isolates according to subtype and drug class exposure; G, glycine; N, asparagine; D, aspartic acid; K, lysine; R, arginine.</w:t>
      </w:r>
    </w:p>
    <w:p>
      <w:pPr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 All data derived from the Stanford University HIV Drug Resistance Database.</w:t>
      </w:r>
    </w:p>
    <w:p>
      <w:pPr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Verdana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egoe UI">
    <w:altName w:val="苹方-简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Calibri Light">
    <w:altName w:val="Verdana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E8F3EA9"/>
    <w:rsid w:val="00120B3D"/>
    <w:rsid w:val="00494BEF"/>
    <w:rsid w:val="008149C9"/>
    <w:rsid w:val="00963C13"/>
    <w:rsid w:val="00A15A73"/>
    <w:rsid w:val="00A53009"/>
    <w:rsid w:val="00C2108C"/>
    <w:rsid w:val="00F610BA"/>
    <w:rsid w:val="33BE0F34"/>
    <w:rsid w:val="7E7B43D1"/>
    <w:rsid w:val="F7FFE1CB"/>
    <w:rsid w:val="FE8F3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513"/>
        <w:tab w:val="right" w:pos="9026"/>
      </w:tabs>
      <w:spacing w:after="0" w:line="240" w:lineRule="auto"/>
    </w:pPr>
  </w:style>
  <w:style w:type="paragraph" w:styleId="4">
    <w:name w:val="header"/>
    <w:basedOn w:val="1"/>
    <w:link w:val="9"/>
    <w:qFormat/>
    <w:uiPriority w:val="0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Normal (Web)"/>
    <w:basedOn w:val="1"/>
    <w:uiPriority w:val="0"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character" w:customStyle="1" w:styleId="8">
    <w:name w:val="Balloon Text Char"/>
    <w:basedOn w:val="6"/>
    <w:link w:val="2"/>
    <w:qFormat/>
    <w:uiPriority w:val="0"/>
    <w:rPr>
      <w:rFonts w:ascii="Segoe UI" w:hAnsi="Segoe UI" w:cs="Segoe UI" w:eastAsiaTheme="minorEastAsia"/>
      <w:kern w:val="2"/>
      <w:sz w:val="18"/>
      <w:szCs w:val="18"/>
      <w:lang w:val="en-US" w:eastAsia="zh-CN"/>
    </w:rPr>
  </w:style>
  <w:style w:type="character" w:customStyle="1" w:styleId="9">
    <w:name w:val="Header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/>
    </w:rPr>
  </w:style>
  <w:style w:type="character" w:customStyle="1" w:styleId="10">
    <w:name w:val="Footer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594</Characters>
  <Lines>4</Lines>
  <Paragraphs>1</Paragraphs>
  <ScaleCrop>false</ScaleCrop>
  <LinksUpToDate>false</LinksUpToDate>
  <CharactersWithSpaces>697</CharactersWithSpaces>
  <Application>WPS Office_1.1.0.1454_F1E327BC-269C-435d-A152-05C5408002CA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2019-08-20T05:52:00Z</dcterms:created>
  <dcterms:modified xsi:type="dcterms:W3CDTF">2019-11-21T12:55:45Z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2052-1.1.0.1454</vt:lpwstr>
  </property>
</Properties>
</file>